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b/>
          <w:bCs/>
          <w:i/>
          <w:iCs/>
          <w:sz w:val="24"/>
          <w:szCs w:val="24"/>
          <w:u w:val="single"/>
          <w:lang w:eastAsia="fr-FR"/>
        </w:rPr>
        <w:t>À l’attention des responsables des services publics de l’eau</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Bonjour,</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 xml:space="preserve">La possibilité de procéder à des réductions de débit en cas d’impayés des factures d’eau suscite de nombreuses questions, surtout depuis la confirmation de la constitutionnalité de l’interdiction des coupures d’eau pour motif d’impayés (pour les résidences principales). En effet, si </w:t>
      </w:r>
      <w:hyperlink r:id="rId4" w:tgtFrame="_blank" w:history="1">
        <w:r w:rsidRPr="006E3D67">
          <w:rPr>
            <w:rFonts w:ascii="Times New Roman" w:eastAsia="Times New Roman" w:hAnsi="Times New Roman" w:cs="Times New Roman"/>
            <w:color w:val="0000FF"/>
            <w:sz w:val="24"/>
            <w:szCs w:val="24"/>
            <w:u w:val="single"/>
            <w:lang w:eastAsia="fr-FR"/>
          </w:rPr>
          <w:t>l’article L.115-3 du code de l’action sociale et des familles</w:t>
        </w:r>
      </w:hyperlink>
      <w:r w:rsidRPr="006E3D67">
        <w:rPr>
          <w:rFonts w:ascii="Times New Roman" w:eastAsia="Times New Roman" w:hAnsi="Times New Roman" w:cs="Times New Roman"/>
          <w:sz w:val="24"/>
          <w:szCs w:val="24"/>
          <w:lang w:eastAsia="fr-FR"/>
        </w:rPr>
        <w:t xml:space="preserve"> ne semble pas les interdire, son décret d’application (</w:t>
      </w:r>
      <w:hyperlink r:id="rId5" w:tgtFrame="_blank" w:history="1">
        <w:r w:rsidRPr="006E3D67">
          <w:rPr>
            <w:rFonts w:ascii="Times New Roman" w:eastAsia="Times New Roman" w:hAnsi="Times New Roman" w:cs="Times New Roman"/>
            <w:color w:val="0000FF"/>
            <w:sz w:val="24"/>
            <w:szCs w:val="24"/>
            <w:u w:val="single"/>
            <w:lang w:eastAsia="fr-FR"/>
          </w:rPr>
          <w:t>décret n°2008-780 du 13 août 2008</w:t>
        </w:r>
      </w:hyperlink>
      <w:r w:rsidRPr="006E3D67">
        <w:rPr>
          <w:rFonts w:ascii="Times New Roman" w:eastAsia="Times New Roman" w:hAnsi="Times New Roman" w:cs="Times New Roman"/>
          <w:sz w:val="24"/>
          <w:szCs w:val="24"/>
          <w:lang w:eastAsia="fr-FR"/>
        </w:rPr>
        <w:t xml:space="preserve">) qui n’a pas été modifié sur ce point suite à l’adoption de la loi </w:t>
      </w:r>
      <w:proofErr w:type="spellStart"/>
      <w:r w:rsidRPr="006E3D67">
        <w:rPr>
          <w:rFonts w:ascii="Times New Roman" w:eastAsia="Times New Roman" w:hAnsi="Times New Roman" w:cs="Times New Roman"/>
          <w:sz w:val="24"/>
          <w:szCs w:val="24"/>
          <w:lang w:eastAsia="fr-FR"/>
        </w:rPr>
        <w:t>Brottes</w:t>
      </w:r>
      <w:proofErr w:type="spellEnd"/>
      <w:r w:rsidRPr="006E3D67">
        <w:rPr>
          <w:rFonts w:ascii="Times New Roman" w:eastAsia="Times New Roman" w:hAnsi="Times New Roman" w:cs="Times New Roman"/>
          <w:sz w:val="24"/>
          <w:szCs w:val="24"/>
          <w:lang w:eastAsia="fr-FR"/>
        </w:rPr>
        <w:t>, les interdit pour les « consommateurs » ; cette interprétation avait été confirmée par le ministère de l’écologie dans une réponse à une question parlementaire en 2011 (</w:t>
      </w:r>
      <w:hyperlink r:id="rId6" w:tgtFrame="_blank" w:history="1">
        <w:r w:rsidRPr="006E3D67">
          <w:rPr>
            <w:rFonts w:ascii="Times New Roman" w:eastAsia="Times New Roman" w:hAnsi="Times New Roman" w:cs="Times New Roman"/>
            <w:color w:val="0000FF"/>
            <w:sz w:val="24"/>
            <w:szCs w:val="24"/>
            <w:u w:val="single"/>
            <w:lang w:eastAsia="fr-FR"/>
          </w:rPr>
          <w:t>RM n° 09092, JO Sénat du 03/03/2011</w:t>
        </w:r>
      </w:hyperlink>
      <w:r w:rsidRPr="006E3D67">
        <w:rPr>
          <w:rFonts w:ascii="Times New Roman" w:eastAsia="Times New Roman" w:hAnsi="Times New Roman" w:cs="Times New Roman"/>
          <w:sz w:val="24"/>
          <w:szCs w:val="24"/>
          <w:lang w:eastAsia="fr-FR"/>
        </w:rPr>
        <w:t>). Depuis, lors des débats sur le projet de loi relative à la transition énergétique pour la croissance verte (adoptée en août -</w:t>
      </w:r>
      <w:r w:rsidRPr="006E3D67">
        <w:rPr>
          <w:rFonts w:ascii="Times New Roman" w:eastAsia="Times New Roman" w:hAnsi="Times New Roman" w:cs="Times New Roman"/>
          <w:color w:val="1F497D"/>
          <w:sz w:val="24"/>
          <w:szCs w:val="24"/>
          <w:lang w:eastAsia="fr-FR"/>
        </w:rPr>
        <w:t xml:space="preserve"> </w:t>
      </w:r>
      <w:hyperlink r:id="rId7" w:tgtFrame="_blank" w:history="1">
        <w:r w:rsidRPr="006E3D67">
          <w:rPr>
            <w:rFonts w:ascii="Times New Roman" w:eastAsia="Times New Roman" w:hAnsi="Times New Roman" w:cs="Times New Roman"/>
            <w:color w:val="0000FF"/>
            <w:sz w:val="24"/>
            <w:szCs w:val="24"/>
            <w:u w:val="single"/>
            <w:lang w:eastAsia="fr-FR"/>
          </w:rPr>
          <w:t>loi n° 2015-992 du 17 août 2015</w:t>
        </w:r>
      </w:hyperlink>
      <w:r w:rsidRPr="006E3D67">
        <w:rPr>
          <w:rFonts w:ascii="Times New Roman" w:eastAsia="Times New Roman" w:hAnsi="Times New Roman" w:cs="Times New Roman"/>
          <w:sz w:val="24"/>
          <w:szCs w:val="24"/>
          <w:lang w:eastAsia="fr-FR"/>
        </w:rPr>
        <w:t xml:space="preserve">), les amendements visant à modifier l’article L.115-3 du CASF pour autoriser explicitement les réductions de débit (dans certains cas) ont été rejetés (voir en particulier </w:t>
      </w:r>
      <w:hyperlink r:id="rId8" w:tgtFrame="_blank" w:history="1">
        <w:r w:rsidRPr="006E3D67">
          <w:rPr>
            <w:rFonts w:ascii="Times New Roman" w:eastAsia="Times New Roman" w:hAnsi="Times New Roman" w:cs="Times New Roman"/>
            <w:color w:val="0000FF"/>
            <w:sz w:val="24"/>
            <w:szCs w:val="24"/>
            <w:u w:val="single"/>
            <w:lang w:eastAsia="fr-FR"/>
          </w:rPr>
          <w:t>le compte rendu de la séance du 15 juillet 2015 au Sénat</w:t>
        </w:r>
      </w:hyperlink>
      <w:r w:rsidRPr="006E3D67">
        <w:rPr>
          <w:rFonts w:ascii="Times New Roman" w:eastAsia="Times New Roman" w:hAnsi="Times New Roman" w:cs="Times New Roman"/>
          <w:sz w:val="24"/>
          <w:szCs w:val="24"/>
          <w:lang w:eastAsia="fr-FR"/>
        </w:rPr>
        <w:t xml:space="preserve">). Enfin, une nouvelle question écrite adressée à la Ministre de l’Ecologie sur le sujet de la réduction de débit a été déposée le 25 août 2015 par le député Martial </w:t>
      </w:r>
      <w:proofErr w:type="spellStart"/>
      <w:r w:rsidRPr="006E3D67">
        <w:rPr>
          <w:rFonts w:ascii="Times New Roman" w:eastAsia="Times New Roman" w:hAnsi="Times New Roman" w:cs="Times New Roman"/>
          <w:sz w:val="24"/>
          <w:szCs w:val="24"/>
          <w:lang w:eastAsia="fr-FR"/>
        </w:rPr>
        <w:t>Saddier</w:t>
      </w:r>
      <w:proofErr w:type="spellEnd"/>
      <w:r w:rsidRPr="006E3D67">
        <w:rPr>
          <w:rFonts w:ascii="Times New Roman" w:eastAsia="Times New Roman" w:hAnsi="Times New Roman" w:cs="Times New Roman"/>
          <w:sz w:val="24"/>
          <w:szCs w:val="24"/>
          <w:lang w:eastAsia="fr-FR"/>
        </w:rPr>
        <w:t xml:space="preserve"> (</w:t>
      </w:r>
      <w:hyperlink r:id="rId9" w:tgtFrame="_blank" w:history="1">
        <w:r w:rsidRPr="006E3D67">
          <w:rPr>
            <w:rFonts w:ascii="Times New Roman" w:eastAsia="Times New Roman" w:hAnsi="Times New Roman" w:cs="Times New Roman"/>
            <w:sz w:val="24"/>
            <w:szCs w:val="24"/>
            <w:u w:val="single"/>
            <w:lang w:eastAsia="fr-FR"/>
          </w:rPr>
          <w:t>n°87408 JOAN 25 août 2015</w:t>
        </w:r>
      </w:hyperlink>
      <w:r w:rsidRPr="006E3D67">
        <w:rPr>
          <w:rFonts w:ascii="Times New Roman" w:eastAsia="Times New Roman" w:hAnsi="Times New Roman" w:cs="Times New Roman"/>
          <w:sz w:val="24"/>
          <w:szCs w:val="24"/>
          <w:lang w:eastAsia="fr-FR"/>
        </w:rPr>
        <w:t xml:space="preserve">) et demeure, à ce jour, en attente de réponse. </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Un nouvel élément vient toutefois renforcer le principe d’une interdiction des réductions de débit : en effet, par une ordonnance de référé datée du 6 janvier 2016, le tribunal d’instance de Limoges a condamné sous astreinte un distributeur d’eau (la SAUR en l’occurrence) qui avait procédé à une réduction de débit pour motif d’impayés à « </w:t>
      </w:r>
      <w:r w:rsidRPr="006E3D67">
        <w:rPr>
          <w:rFonts w:ascii="Times New Roman" w:eastAsia="Times New Roman" w:hAnsi="Times New Roman" w:cs="Times New Roman"/>
          <w:i/>
          <w:iCs/>
          <w:sz w:val="24"/>
          <w:szCs w:val="24"/>
          <w:lang w:eastAsia="fr-FR"/>
        </w:rPr>
        <w:t>restaurer le débit normal et plein volume de distribution d’eau</w:t>
      </w:r>
      <w:r w:rsidRPr="006E3D67">
        <w:rPr>
          <w:rFonts w:ascii="Times New Roman" w:eastAsia="Times New Roman" w:hAnsi="Times New Roman" w:cs="Times New Roman"/>
          <w:sz w:val="24"/>
          <w:szCs w:val="24"/>
          <w:lang w:eastAsia="fr-FR"/>
        </w:rPr>
        <w:t> » au domicile concerné [NB - un jugement en référé ne tranche pas « au fond » et est susceptible d’appel]. Cette ordonnance s’appuie notamment sur la définition d’un « logement décent » donnée par l’</w:t>
      </w:r>
      <w:hyperlink r:id="rId10" w:tgtFrame="_blank" w:history="1">
        <w:r w:rsidRPr="006E3D67">
          <w:rPr>
            <w:rFonts w:ascii="Times New Roman" w:eastAsia="Times New Roman" w:hAnsi="Times New Roman" w:cs="Times New Roman"/>
            <w:color w:val="0000FF"/>
            <w:sz w:val="24"/>
            <w:szCs w:val="24"/>
            <w:u w:val="single"/>
            <w:lang w:eastAsia="fr-FR"/>
          </w:rPr>
          <w:t>article 3 du décret n° 2002-120 du 30 janvier 2002 relatif aux caractéristiques du logement décent pris pour l'application de l'article 187 de la loi n° 2000-1208 du 13 décembre 2000 relative à la solidarité et au renouvellement urbains</w:t>
        </w:r>
      </w:hyperlink>
      <w:r w:rsidRPr="006E3D67">
        <w:rPr>
          <w:rFonts w:ascii="Times New Roman" w:eastAsia="Times New Roman" w:hAnsi="Times New Roman" w:cs="Times New Roman"/>
          <w:color w:val="1F497D"/>
          <w:sz w:val="24"/>
          <w:szCs w:val="24"/>
          <w:lang w:eastAsia="fr-FR"/>
        </w:rPr>
        <w:t xml:space="preserve"> : </w:t>
      </w:r>
      <w:r w:rsidRPr="006E3D67">
        <w:rPr>
          <w:rFonts w:ascii="Times New Roman" w:eastAsia="Times New Roman" w:hAnsi="Times New Roman" w:cs="Times New Roman"/>
          <w:sz w:val="24"/>
          <w:szCs w:val="24"/>
          <w:lang w:eastAsia="fr-FR"/>
        </w:rPr>
        <w:t>« </w:t>
      </w:r>
      <w:r w:rsidRPr="006E3D67">
        <w:rPr>
          <w:rFonts w:ascii="Times New Roman" w:eastAsia="Times New Roman" w:hAnsi="Times New Roman" w:cs="Times New Roman"/>
          <w:i/>
          <w:iCs/>
          <w:sz w:val="24"/>
          <w:szCs w:val="24"/>
          <w:lang w:eastAsia="fr-FR"/>
        </w:rPr>
        <w:t>Le logement comporte les éléments d'équipement et de confort suivants : (…) 2. Une installation d'alimentation en eau potable assurant à l'intérieur du logement la distribution avec une pression et un débit suffisants pour l'utilisation normale de ses locataires ; (…)</w:t>
      </w:r>
      <w:r w:rsidRPr="006E3D67">
        <w:rPr>
          <w:rFonts w:ascii="Times New Roman" w:eastAsia="Times New Roman" w:hAnsi="Times New Roman" w:cs="Times New Roman"/>
          <w:sz w:val="24"/>
          <w:szCs w:val="24"/>
          <w:lang w:eastAsia="fr-FR"/>
        </w:rPr>
        <w:t> </w:t>
      </w:r>
      <w:proofErr w:type="gramStart"/>
      <w:r w:rsidRPr="006E3D67">
        <w:rPr>
          <w:rFonts w:ascii="Times New Roman" w:eastAsia="Times New Roman" w:hAnsi="Times New Roman" w:cs="Times New Roman"/>
          <w:sz w:val="24"/>
          <w:szCs w:val="24"/>
          <w:lang w:eastAsia="fr-FR"/>
        </w:rPr>
        <w:t>» .</w:t>
      </w:r>
      <w:proofErr w:type="gramEnd"/>
      <w:r w:rsidRPr="006E3D67">
        <w:rPr>
          <w:rFonts w:ascii="Times New Roman" w:eastAsia="Times New Roman" w:hAnsi="Times New Roman" w:cs="Times New Roman"/>
          <w:sz w:val="24"/>
          <w:szCs w:val="24"/>
          <w:lang w:eastAsia="fr-FR"/>
        </w:rPr>
        <w:t xml:space="preserve"> </w:t>
      </w:r>
      <w:proofErr w:type="gramStart"/>
      <w:r w:rsidRPr="006E3D67">
        <w:rPr>
          <w:rFonts w:ascii="Times New Roman" w:eastAsia="Times New Roman" w:hAnsi="Times New Roman" w:cs="Times New Roman"/>
          <w:sz w:val="24"/>
          <w:szCs w:val="24"/>
          <w:lang w:eastAsia="fr-FR"/>
        </w:rPr>
        <w:t>il</w:t>
      </w:r>
      <w:proofErr w:type="gramEnd"/>
      <w:r w:rsidRPr="006E3D67">
        <w:rPr>
          <w:rFonts w:ascii="Times New Roman" w:eastAsia="Times New Roman" w:hAnsi="Times New Roman" w:cs="Times New Roman"/>
          <w:sz w:val="24"/>
          <w:szCs w:val="24"/>
          <w:lang w:eastAsia="fr-FR"/>
        </w:rPr>
        <w:t xml:space="preserve"> s’agit d’un argument supplémentaire, jusque-là non développé, dans le sens d’une interdiction des réductions de débit en cas d’impayés. </w:t>
      </w:r>
    </w:p>
    <w:p w:rsidR="006E3D67" w:rsidRPr="006E3D67" w:rsidRDefault="006E3D67" w:rsidP="006E3D67">
      <w:pPr>
        <w:shd w:val="clear" w:color="auto" w:fill="FFFFFF"/>
        <w:spacing w:before="180" w:after="180" w:line="192" w:lineRule="atLeast"/>
        <w:rPr>
          <w:rFonts w:ascii="Times New Roman" w:eastAsia="Times New Roman" w:hAnsi="Times New Roman" w:cs="Times New Roman"/>
          <w:sz w:val="24"/>
          <w:szCs w:val="24"/>
          <w:lang w:eastAsia="fr-FR"/>
        </w:rPr>
      </w:pPr>
      <w:r w:rsidRPr="006E3D67">
        <w:rPr>
          <w:rFonts w:ascii="Calibri" w:eastAsia="Times New Roman" w:hAnsi="Calibri" w:cs="Times New Roman"/>
          <w:lang w:eastAsia="fr-FR"/>
        </w:rPr>
        <w:t>Donc, dans l’état actuel des choses, il peut être recommandé par mesure de prudence, d’adopter des mesures différenciées selon les catégories d’abonnés en situation d’impayés :</w:t>
      </w:r>
    </w:p>
    <w:p w:rsidR="006E3D67" w:rsidRPr="006E3D67" w:rsidRDefault="006E3D67" w:rsidP="006E3D67">
      <w:pPr>
        <w:spacing w:before="100" w:beforeAutospacing="1" w:after="100" w:afterAutospacing="1" w:line="240" w:lineRule="auto"/>
        <w:ind w:left="502" w:hanging="360"/>
        <w:rPr>
          <w:rFonts w:ascii="Times New Roman" w:eastAsia="Times New Roman" w:hAnsi="Times New Roman" w:cs="Times New Roman"/>
          <w:sz w:val="24"/>
          <w:szCs w:val="24"/>
          <w:lang w:eastAsia="fr-FR"/>
        </w:rPr>
      </w:pPr>
      <w:r w:rsidRPr="006E3D67">
        <w:rPr>
          <w:rFonts w:ascii="Symbol" w:eastAsia="Times New Roman" w:hAnsi="Symbol" w:cs="Times New Roman"/>
          <w:sz w:val="24"/>
          <w:szCs w:val="24"/>
          <w:lang w:eastAsia="fr-FR"/>
        </w:rPr>
        <w:t></w:t>
      </w:r>
      <w:r w:rsidRPr="006E3D67">
        <w:rPr>
          <w:rFonts w:ascii="Times New Roman" w:eastAsia="Times New Roman" w:hAnsi="Times New Roman" w:cs="Times New Roman"/>
          <w:sz w:val="14"/>
          <w:szCs w:val="14"/>
          <w:lang w:eastAsia="fr-FR"/>
        </w:rPr>
        <w:t xml:space="preserve">        </w:t>
      </w:r>
      <w:r w:rsidRPr="006E3D67">
        <w:rPr>
          <w:rFonts w:ascii="Times New Roman" w:eastAsia="Times New Roman" w:hAnsi="Times New Roman" w:cs="Times New Roman"/>
          <w:b/>
          <w:bCs/>
          <w:sz w:val="24"/>
          <w:szCs w:val="24"/>
          <w:u w:val="single"/>
          <w:lang w:eastAsia="fr-FR"/>
        </w:rPr>
        <w:t>Résidence principale</w:t>
      </w:r>
      <w:r w:rsidRPr="006E3D67">
        <w:rPr>
          <w:rFonts w:ascii="Times New Roman" w:eastAsia="Times New Roman" w:hAnsi="Times New Roman" w:cs="Times New Roman"/>
          <w:sz w:val="24"/>
          <w:szCs w:val="24"/>
          <w:lang w:eastAsia="fr-FR"/>
        </w:rPr>
        <w:t xml:space="preserve"> :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r w:rsidRPr="006E3D67">
        <w:rPr>
          <w:rFonts w:ascii="Courier New" w:eastAsia="Times New Roman" w:hAnsi="Courier New" w:cs="Courier New"/>
          <w:sz w:val="24"/>
          <w:szCs w:val="24"/>
          <w:lang w:eastAsia="fr-FR"/>
        </w:rPr>
        <w:t>O</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lang w:eastAsia="fr-FR"/>
        </w:rPr>
        <w:t>interdiction des coupures d’eau</w:t>
      </w:r>
      <w:r w:rsidRPr="006E3D67">
        <w:rPr>
          <w:rFonts w:ascii="Times New Roman" w:eastAsia="Times New Roman" w:hAnsi="Times New Roman" w:cs="Times New Roman"/>
          <w:sz w:val="24"/>
          <w:szCs w:val="24"/>
          <w:lang w:eastAsia="fr-FR"/>
        </w:rPr>
        <w:t xml:space="preserve"> (cf. troisième alinéa de l’article L.115-3 du CASF qui interdit de procéder à une « </w:t>
      </w:r>
      <w:r w:rsidRPr="006E3D67">
        <w:rPr>
          <w:rFonts w:ascii="Times New Roman" w:eastAsia="Times New Roman" w:hAnsi="Times New Roman" w:cs="Times New Roman"/>
          <w:i/>
          <w:iCs/>
          <w:sz w:val="24"/>
          <w:szCs w:val="24"/>
          <w:lang w:eastAsia="fr-FR"/>
        </w:rPr>
        <w:t>suspension de fourniture</w:t>
      </w:r>
      <w:r w:rsidRPr="006E3D67">
        <w:rPr>
          <w:rFonts w:ascii="Times New Roman" w:eastAsia="Times New Roman" w:hAnsi="Times New Roman" w:cs="Times New Roman"/>
          <w:sz w:val="24"/>
          <w:szCs w:val="24"/>
          <w:lang w:eastAsia="fr-FR"/>
        </w:rPr>
        <w:t> » pour motif d’impayés dans une résidence principale)</w:t>
      </w:r>
      <w:r w:rsidRPr="006E3D67">
        <w:rPr>
          <w:rFonts w:ascii="Times New Roman" w:eastAsia="Times New Roman" w:hAnsi="Times New Roman" w:cs="Times New Roman"/>
          <w:color w:val="1F497D"/>
          <w:sz w:val="24"/>
          <w:szCs w:val="24"/>
          <w:lang w:eastAsia="fr-FR"/>
        </w:rPr>
        <w:t>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proofErr w:type="gramStart"/>
      <w:r w:rsidRPr="006E3D67">
        <w:rPr>
          <w:rFonts w:ascii="Courier New" w:eastAsia="Times New Roman" w:hAnsi="Courier New" w:cs="Courier New"/>
          <w:sz w:val="24"/>
          <w:szCs w:val="24"/>
          <w:lang w:eastAsia="fr-FR"/>
        </w:rPr>
        <w:t>o</w:t>
      </w:r>
      <w:proofErr w:type="gramEnd"/>
      <w:r w:rsidRPr="006E3D67">
        <w:rPr>
          <w:rFonts w:ascii="Courier New" w:eastAsia="Times New Roman" w:hAnsi="Courier New" w:cs="Courier New"/>
          <w:color w:val="1F497D"/>
          <w:sz w:val="24"/>
          <w:szCs w:val="24"/>
          <w:lang w:eastAsia="fr-FR"/>
        </w:rPr>
        <w:t xml:space="preserve"> </w:t>
      </w:r>
      <w:r w:rsidRPr="006E3D67">
        <w:rPr>
          <w:rFonts w:ascii="Times New Roman" w:eastAsia="Times New Roman" w:hAnsi="Times New Roman" w:cs="Times New Roman"/>
          <w:b/>
          <w:bCs/>
          <w:sz w:val="24"/>
          <w:szCs w:val="24"/>
          <w:lang w:eastAsia="fr-FR"/>
        </w:rPr>
        <w:t>interdiction des réductions de débit</w:t>
      </w:r>
      <w:r w:rsidRPr="006E3D67">
        <w:rPr>
          <w:rFonts w:ascii="Times New Roman" w:eastAsia="Times New Roman" w:hAnsi="Times New Roman" w:cs="Times New Roman"/>
          <w:sz w:val="24"/>
          <w:szCs w:val="24"/>
          <w:lang w:eastAsia="fr-FR"/>
        </w:rPr>
        <w:t xml:space="preserve"> (cf. décret 2008-780 qui interdit les réductions de fourniture, que l’abonné ait ou non sollicité le FSL ou les services sociaux et si c’est le cas, que ceux-ci lui aient ou non accordé une aide)</w:t>
      </w:r>
      <w:r w:rsidRPr="006E3D67">
        <w:rPr>
          <w:rFonts w:ascii="Times New Roman" w:eastAsia="Times New Roman" w:hAnsi="Times New Roman" w:cs="Times New Roman"/>
          <w:color w:val="1F497D"/>
          <w:sz w:val="24"/>
          <w:szCs w:val="24"/>
          <w:lang w:eastAsia="fr-FR"/>
        </w:rPr>
        <w:t>.</w:t>
      </w:r>
    </w:p>
    <w:p w:rsidR="006E3D67" w:rsidRPr="006E3D67" w:rsidRDefault="006E3D67" w:rsidP="006E3D67">
      <w:pPr>
        <w:spacing w:before="100" w:beforeAutospacing="1" w:after="100" w:afterAutospacing="1" w:line="240" w:lineRule="auto"/>
        <w:ind w:left="502" w:hanging="360"/>
        <w:rPr>
          <w:rFonts w:ascii="Times New Roman" w:eastAsia="Times New Roman" w:hAnsi="Times New Roman" w:cs="Times New Roman"/>
          <w:sz w:val="24"/>
          <w:szCs w:val="24"/>
          <w:lang w:eastAsia="fr-FR"/>
        </w:rPr>
      </w:pPr>
      <w:r w:rsidRPr="006E3D67">
        <w:rPr>
          <w:rFonts w:ascii="Symbol" w:eastAsia="Times New Roman" w:hAnsi="Symbol" w:cs="Times New Roman"/>
          <w:sz w:val="24"/>
          <w:szCs w:val="24"/>
          <w:lang w:eastAsia="fr-FR"/>
        </w:rPr>
        <w:t></w:t>
      </w:r>
      <w:r w:rsidRPr="006E3D67">
        <w:rPr>
          <w:rFonts w:ascii="Times New Roman" w:eastAsia="Times New Roman" w:hAnsi="Times New Roman" w:cs="Times New Roman"/>
          <w:sz w:val="14"/>
          <w:szCs w:val="14"/>
          <w:lang w:eastAsia="fr-FR"/>
        </w:rPr>
        <w:t xml:space="preserve">        </w:t>
      </w:r>
      <w:r w:rsidRPr="006E3D67">
        <w:rPr>
          <w:rFonts w:ascii="Times New Roman" w:eastAsia="Times New Roman" w:hAnsi="Times New Roman" w:cs="Times New Roman"/>
          <w:b/>
          <w:bCs/>
          <w:sz w:val="24"/>
          <w:szCs w:val="24"/>
          <w:u w:val="single"/>
          <w:lang w:eastAsia="fr-FR"/>
        </w:rPr>
        <w:t>Consommateur autre que résidence principale</w:t>
      </w:r>
      <w:r w:rsidRPr="006E3D67">
        <w:rPr>
          <w:rFonts w:ascii="Times New Roman" w:eastAsia="Times New Roman" w:hAnsi="Times New Roman" w:cs="Times New Roman"/>
          <w:sz w:val="24"/>
          <w:szCs w:val="24"/>
          <w:lang w:eastAsia="fr-FR"/>
        </w:rPr>
        <w:t xml:space="preserve"> (le « consommateur »  est défini à </w:t>
      </w:r>
      <w:hyperlink r:id="rId11" w:tgtFrame="_blank" w:history="1">
        <w:r w:rsidRPr="006E3D67">
          <w:rPr>
            <w:rFonts w:ascii="Times New Roman" w:eastAsia="Times New Roman" w:hAnsi="Times New Roman" w:cs="Times New Roman"/>
            <w:color w:val="0000FF"/>
            <w:sz w:val="24"/>
            <w:szCs w:val="24"/>
            <w:u w:val="single"/>
            <w:lang w:eastAsia="fr-FR"/>
          </w:rPr>
          <w:t>article préliminaire du code de la consommation</w:t>
        </w:r>
      </w:hyperlink>
      <w:r w:rsidRPr="006E3D67">
        <w:rPr>
          <w:rFonts w:ascii="Times New Roman" w:eastAsia="Times New Roman" w:hAnsi="Times New Roman" w:cs="Times New Roman"/>
          <w:color w:val="1F497D"/>
          <w:sz w:val="24"/>
          <w:szCs w:val="24"/>
          <w:lang w:eastAsia="fr-FR"/>
        </w:rPr>
        <w:t xml:space="preserve"> </w:t>
      </w:r>
      <w:r w:rsidRPr="006E3D67">
        <w:rPr>
          <w:rFonts w:ascii="Times New Roman" w:eastAsia="Times New Roman" w:hAnsi="Times New Roman" w:cs="Times New Roman"/>
          <w:sz w:val="24"/>
          <w:szCs w:val="24"/>
          <w:lang w:eastAsia="fr-FR"/>
        </w:rPr>
        <w:t xml:space="preserve">comme </w:t>
      </w:r>
      <w:r w:rsidRPr="006E3D67">
        <w:rPr>
          <w:rFonts w:ascii="Times New Roman" w:eastAsia="Times New Roman" w:hAnsi="Times New Roman" w:cs="Times New Roman"/>
          <w:i/>
          <w:iCs/>
          <w:sz w:val="24"/>
          <w:szCs w:val="24"/>
          <w:lang w:eastAsia="fr-FR"/>
        </w:rPr>
        <w:t xml:space="preserve">« toute personne physique qui </w:t>
      </w:r>
      <w:r w:rsidRPr="006E3D67">
        <w:rPr>
          <w:rFonts w:ascii="Times New Roman" w:eastAsia="Times New Roman" w:hAnsi="Times New Roman" w:cs="Times New Roman"/>
          <w:i/>
          <w:iCs/>
          <w:sz w:val="24"/>
          <w:szCs w:val="24"/>
          <w:lang w:eastAsia="fr-FR"/>
        </w:rPr>
        <w:lastRenderedPageBreak/>
        <w:t>agit à des fins qui n'entrent pas dans le cadre de son activité commerciale, industrielle, artisanale ou libérale. »</w:t>
      </w:r>
      <w:r w:rsidRPr="006E3D67">
        <w:rPr>
          <w:rFonts w:ascii="Times New Roman" w:eastAsia="Times New Roman" w:hAnsi="Times New Roman" w:cs="Times New Roman"/>
          <w:sz w:val="24"/>
          <w:szCs w:val="24"/>
          <w:lang w:eastAsia="fr-FR"/>
        </w:rPr>
        <w:t xml:space="preserve"> : en l’occurrence, résidence secondaire, branchements individuels « verts »,…) :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r w:rsidRPr="006E3D67">
        <w:rPr>
          <w:rFonts w:ascii="Courier New" w:eastAsia="Times New Roman" w:hAnsi="Courier New" w:cs="Courier New"/>
          <w:sz w:val="24"/>
          <w:szCs w:val="24"/>
          <w:lang w:eastAsia="fr-FR"/>
        </w:rPr>
        <w:t>O</w:t>
      </w:r>
      <w:r w:rsidRPr="006E3D67">
        <w:rPr>
          <w:rFonts w:ascii="Courier New" w:eastAsia="Times New Roman" w:hAnsi="Courier New" w:cs="Courier New"/>
          <w:color w:val="1F497D"/>
          <w:sz w:val="24"/>
          <w:szCs w:val="24"/>
          <w:lang w:eastAsia="fr-FR"/>
        </w:rPr>
        <w:t xml:space="preserve"> </w:t>
      </w:r>
      <w:r w:rsidRPr="006E3D67">
        <w:rPr>
          <w:rFonts w:ascii="Times New Roman" w:eastAsia="Times New Roman" w:hAnsi="Times New Roman" w:cs="Times New Roman"/>
          <w:b/>
          <w:bCs/>
          <w:sz w:val="24"/>
          <w:szCs w:val="24"/>
          <w:u w:val="single"/>
          <w:lang w:eastAsia="fr-FR"/>
        </w:rPr>
        <w:t>possibilité de coupures d‘eau</w:t>
      </w:r>
      <w:r w:rsidRPr="006E3D67">
        <w:rPr>
          <w:rFonts w:ascii="Times New Roman" w:eastAsia="Times New Roman" w:hAnsi="Times New Roman" w:cs="Times New Roman"/>
          <w:sz w:val="24"/>
          <w:szCs w:val="24"/>
          <w:lang w:eastAsia="fr-FR"/>
        </w:rPr>
        <w:t xml:space="preserve"> (le décret du 13 août les autorisent « sous réserve des dispositions du troisième alinéa de l'article L.115-3 du code de l'action sociale et des familles » donc de facto seules les résidences principales font l’objet d’une interdiction de coupures d’eau)</w:t>
      </w:r>
      <w:r w:rsidRPr="006E3D67">
        <w:rPr>
          <w:rFonts w:ascii="Times New Roman" w:eastAsia="Times New Roman" w:hAnsi="Times New Roman" w:cs="Times New Roman"/>
          <w:color w:val="1F497D"/>
          <w:sz w:val="24"/>
          <w:szCs w:val="24"/>
          <w:lang w:eastAsia="fr-FR"/>
        </w:rPr>
        <w:t>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r w:rsidRPr="006E3D67">
        <w:rPr>
          <w:rFonts w:ascii="Courier New" w:eastAsia="Times New Roman" w:hAnsi="Courier New" w:cs="Courier New"/>
          <w:sz w:val="24"/>
          <w:szCs w:val="24"/>
          <w:lang w:eastAsia="fr-FR"/>
        </w:rPr>
        <w:t>O</w:t>
      </w:r>
      <w:r w:rsidRPr="006E3D67">
        <w:rPr>
          <w:rFonts w:ascii="Times New Roman" w:eastAsia="Times New Roman" w:hAnsi="Times New Roman" w:cs="Times New Roman"/>
          <w:sz w:val="14"/>
          <w:szCs w:val="14"/>
          <w:lang w:eastAsia="fr-FR"/>
        </w:rPr>
        <w:t xml:space="preserve">      </w:t>
      </w:r>
      <w:r w:rsidRPr="006E3D67">
        <w:rPr>
          <w:rFonts w:ascii="Times New Roman" w:eastAsia="Times New Roman" w:hAnsi="Times New Roman" w:cs="Times New Roman"/>
          <w:b/>
          <w:bCs/>
          <w:sz w:val="24"/>
          <w:szCs w:val="24"/>
          <w:u w:val="single"/>
          <w:lang w:eastAsia="fr-FR"/>
        </w:rPr>
        <w:t>interdiction de réduction de débit</w:t>
      </w:r>
      <w:r w:rsidRPr="006E3D67">
        <w:rPr>
          <w:rFonts w:ascii="Times New Roman" w:eastAsia="Times New Roman" w:hAnsi="Times New Roman" w:cs="Times New Roman"/>
          <w:sz w:val="24"/>
          <w:szCs w:val="24"/>
          <w:lang w:eastAsia="fr-FR"/>
        </w:rPr>
        <w:t xml:space="preserve"> (cf. article 1 du décret du 13 août 2008).</w:t>
      </w:r>
    </w:p>
    <w:p w:rsidR="006E3D67" w:rsidRPr="006E3D67" w:rsidRDefault="006E3D67" w:rsidP="006E3D67">
      <w:pPr>
        <w:spacing w:before="100" w:beforeAutospacing="1" w:after="100" w:afterAutospacing="1" w:line="240" w:lineRule="auto"/>
        <w:ind w:left="426" w:hanging="284"/>
        <w:rPr>
          <w:rFonts w:ascii="Times New Roman" w:eastAsia="Times New Roman" w:hAnsi="Times New Roman" w:cs="Times New Roman"/>
          <w:sz w:val="24"/>
          <w:szCs w:val="24"/>
          <w:lang w:eastAsia="fr-FR"/>
        </w:rPr>
      </w:pPr>
      <w:r w:rsidRPr="006E3D67">
        <w:rPr>
          <w:rFonts w:ascii="Symbol" w:eastAsia="Times New Roman" w:hAnsi="Symbol" w:cs="Times New Roman"/>
          <w:sz w:val="24"/>
          <w:szCs w:val="24"/>
          <w:lang w:eastAsia="fr-FR"/>
        </w:rPr>
        <w:t></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u w:val="single"/>
          <w:lang w:eastAsia="fr-FR"/>
        </w:rPr>
        <w:t>Les non consommateurs = personnes morales et personnes physiques utilisatrices de l’eau au titre de leurs activités commerciales, industrielles, artisanales ou libérales :</w:t>
      </w:r>
      <w:r w:rsidRPr="006E3D67">
        <w:rPr>
          <w:rFonts w:ascii="Times New Roman" w:eastAsia="Times New Roman" w:hAnsi="Times New Roman" w:cs="Times New Roman"/>
          <w:sz w:val="24"/>
          <w:szCs w:val="24"/>
          <w:lang w:eastAsia="fr-FR"/>
        </w:rPr>
        <w:t xml:space="preserve"> ils ne sont pas visés par les dispositions du CASF et donc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r w:rsidRPr="006E3D67">
        <w:rPr>
          <w:rFonts w:ascii="Courier New" w:eastAsia="Times New Roman" w:hAnsi="Courier New" w:cs="Courier New"/>
          <w:sz w:val="24"/>
          <w:szCs w:val="24"/>
          <w:lang w:eastAsia="fr-FR"/>
        </w:rPr>
        <w:t>O</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u w:val="single"/>
          <w:lang w:eastAsia="fr-FR"/>
        </w:rPr>
        <w:t xml:space="preserve">possibilité de coupures d’eau </w:t>
      </w:r>
    </w:p>
    <w:p w:rsidR="006E3D67" w:rsidRPr="006E3D67" w:rsidRDefault="006E3D67" w:rsidP="006E3D67">
      <w:pPr>
        <w:spacing w:before="100" w:beforeAutospacing="1" w:after="100" w:afterAutospacing="1" w:line="240" w:lineRule="auto"/>
        <w:ind w:left="851" w:hanging="306"/>
        <w:rPr>
          <w:rFonts w:ascii="Times New Roman" w:eastAsia="Times New Roman" w:hAnsi="Times New Roman" w:cs="Times New Roman"/>
          <w:sz w:val="24"/>
          <w:szCs w:val="24"/>
          <w:lang w:eastAsia="fr-FR"/>
        </w:rPr>
      </w:pPr>
      <w:r w:rsidRPr="006E3D67">
        <w:rPr>
          <w:rFonts w:ascii="Courier New" w:eastAsia="Times New Roman" w:hAnsi="Courier New" w:cs="Courier New"/>
          <w:sz w:val="24"/>
          <w:szCs w:val="24"/>
          <w:lang w:eastAsia="fr-FR"/>
        </w:rPr>
        <w:t>O</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u w:val="single"/>
          <w:lang w:eastAsia="fr-FR"/>
        </w:rPr>
        <w:t xml:space="preserve">possibilité de réductions de débit </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i/>
          <w:iCs/>
          <w:sz w:val="24"/>
          <w:szCs w:val="24"/>
          <w:lang w:eastAsia="fr-FR"/>
        </w:rPr>
        <w:t xml:space="preserve">ATTENTION : </w:t>
      </w:r>
    </w:p>
    <w:p w:rsidR="006E3D67" w:rsidRPr="006E3D67" w:rsidRDefault="006E3D67" w:rsidP="006E3D67">
      <w:pPr>
        <w:spacing w:before="100" w:beforeAutospacing="1" w:after="100" w:afterAutospacing="1" w:line="240" w:lineRule="auto"/>
        <w:ind w:hanging="360"/>
        <w:rPr>
          <w:rFonts w:ascii="Times New Roman" w:eastAsia="Times New Roman" w:hAnsi="Times New Roman" w:cs="Times New Roman"/>
          <w:sz w:val="24"/>
          <w:szCs w:val="24"/>
          <w:lang w:eastAsia="fr-FR"/>
        </w:rPr>
      </w:pPr>
      <w:r w:rsidRPr="006E3D67">
        <w:rPr>
          <w:rFonts w:ascii="Times New Roman" w:eastAsia="Times New Roman" w:hAnsi="Times New Roman" w:cs="Times New Roman"/>
          <w:i/>
          <w:iCs/>
          <w:sz w:val="24"/>
          <w:szCs w:val="24"/>
          <w:lang w:eastAsia="fr-FR"/>
        </w:rPr>
        <w:t>1.</w:t>
      </w:r>
      <w:r w:rsidRPr="006E3D67">
        <w:rPr>
          <w:rFonts w:ascii="Times New Roman" w:eastAsia="Times New Roman" w:hAnsi="Times New Roman" w:cs="Times New Roman"/>
          <w:i/>
          <w:iCs/>
          <w:color w:val="1F497D"/>
          <w:sz w:val="24"/>
          <w:szCs w:val="24"/>
          <w:lang w:eastAsia="fr-FR"/>
        </w:rPr>
        <w:t xml:space="preserve">    </w:t>
      </w:r>
      <w:r w:rsidRPr="006E3D67">
        <w:rPr>
          <w:rFonts w:ascii="Times New Roman" w:eastAsia="Times New Roman" w:hAnsi="Times New Roman" w:cs="Times New Roman"/>
          <w:i/>
          <w:iCs/>
          <w:sz w:val="24"/>
          <w:szCs w:val="24"/>
          <w:lang w:eastAsia="fr-FR"/>
        </w:rPr>
        <w:t>Pour ce qui concerne la question des « résidences principales », il ne fait guère de doute qu’il faille raisonner « usager » et non « abonné ». En particulier, si un logement en location est occupé à titre de résidence principale, aucune coupure d’eau ne peut être effectuée, y compris lorsque l’abonnement a été souscrit par un propriétaire qui n’est pas un consommateur (personne physique ou morale).</w:t>
      </w:r>
    </w:p>
    <w:p w:rsidR="006E3D67" w:rsidRPr="006E3D67" w:rsidRDefault="006E3D67" w:rsidP="006E3D67">
      <w:pPr>
        <w:spacing w:before="100" w:beforeAutospacing="1" w:after="100" w:afterAutospacing="1" w:line="240" w:lineRule="auto"/>
        <w:ind w:hanging="360"/>
        <w:rPr>
          <w:rFonts w:ascii="Times New Roman" w:eastAsia="Times New Roman" w:hAnsi="Times New Roman" w:cs="Times New Roman"/>
          <w:sz w:val="24"/>
          <w:szCs w:val="24"/>
          <w:lang w:eastAsia="fr-FR"/>
        </w:rPr>
      </w:pPr>
      <w:r w:rsidRPr="006E3D67">
        <w:rPr>
          <w:rFonts w:ascii="Times New Roman" w:eastAsia="Times New Roman" w:hAnsi="Times New Roman" w:cs="Times New Roman"/>
          <w:i/>
          <w:iCs/>
          <w:sz w:val="24"/>
          <w:szCs w:val="24"/>
          <w:lang w:eastAsia="fr-FR"/>
        </w:rPr>
        <w:t>2.</w:t>
      </w:r>
      <w:r w:rsidRPr="006E3D67">
        <w:rPr>
          <w:rFonts w:ascii="Times New Roman" w:eastAsia="Times New Roman" w:hAnsi="Times New Roman" w:cs="Times New Roman"/>
          <w:i/>
          <w:iCs/>
          <w:color w:val="1F497D"/>
          <w:sz w:val="14"/>
          <w:szCs w:val="14"/>
          <w:lang w:eastAsia="fr-FR"/>
        </w:rPr>
        <w:t xml:space="preserve">       </w:t>
      </w:r>
      <w:r w:rsidRPr="006E3D67">
        <w:rPr>
          <w:rFonts w:ascii="Times New Roman" w:eastAsia="Times New Roman" w:hAnsi="Times New Roman" w:cs="Times New Roman"/>
          <w:i/>
          <w:iCs/>
          <w:sz w:val="24"/>
          <w:szCs w:val="24"/>
          <w:lang w:eastAsia="fr-FR"/>
        </w:rPr>
        <w:t xml:space="preserve">De même, dans le cas d’un abonnement couvrant un usage mixte « résidence principale + activité professionnelle » (par exemple commerce, local professionnel, exploitation agricole, etc. comportant également un logement), l’usage « résidence principale » interdit de facto la coupure d’eau, même si l’abonnement est souscrit au titre de l’activité professionnelle. </w:t>
      </w:r>
    </w:p>
    <w:p w:rsidR="006E3D67" w:rsidRPr="006E3D67" w:rsidRDefault="006E3D67" w:rsidP="006E3D67">
      <w:pPr>
        <w:spacing w:before="100" w:beforeAutospacing="1" w:after="100" w:afterAutospacing="1" w:line="240" w:lineRule="auto"/>
        <w:ind w:hanging="360"/>
        <w:rPr>
          <w:rFonts w:ascii="Times New Roman" w:eastAsia="Times New Roman" w:hAnsi="Times New Roman" w:cs="Times New Roman"/>
          <w:sz w:val="24"/>
          <w:szCs w:val="24"/>
          <w:lang w:eastAsia="fr-FR"/>
        </w:rPr>
      </w:pPr>
      <w:r w:rsidRPr="006E3D67">
        <w:rPr>
          <w:rFonts w:ascii="Times New Roman" w:eastAsia="Times New Roman" w:hAnsi="Times New Roman" w:cs="Times New Roman"/>
          <w:i/>
          <w:iCs/>
          <w:sz w:val="24"/>
          <w:szCs w:val="24"/>
          <w:lang w:eastAsia="fr-FR"/>
        </w:rPr>
        <w:t>3.</w:t>
      </w:r>
      <w:r w:rsidRPr="006E3D67">
        <w:rPr>
          <w:rFonts w:ascii="Times New Roman" w:eastAsia="Times New Roman" w:hAnsi="Times New Roman" w:cs="Times New Roman"/>
          <w:i/>
          <w:iCs/>
          <w:color w:val="1F497D"/>
          <w:sz w:val="24"/>
          <w:szCs w:val="24"/>
          <w:lang w:eastAsia="fr-FR"/>
        </w:rPr>
        <w:t xml:space="preserve">    </w:t>
      </w:r>
      <w:r w:rsidRPr="006E3D67">
        <w:rPr>
          <w:rFonts w:ascii="Times New Roman" w:eastAsia="Times New Roman" w:hAnsi="Times New Roman" w:cs="Times New Roman"/>
          <w:i/>
          <w:iCs/>
          <w:sz w:val="24"/>
          <w:szCs w:val="24"/>
          <w:lang w:eastAsia="fr-FR"/>
        </w:rPr>
        <w:t>Évidemment, il est souvent difficile de disposer d’une connaissance fiable du statut d’occupation à titre principale ou secondaire d’un logement (ou de l’utilisation d’un local « d’habitation » pour un usage professionnel), d’autant que ce n’est pas le statut de l’abonné qui compte mais celui de l’usager (cf. ci-dessus). Il faut donc être très prudent avant de procéder à une fermeture de branchement d’une résidence a priori secondaire ou dont l’abonnement est souscrit par une personne morale… De facto, de nombreux services ont purement et simplement renoncé à fermer l’eau dans les logements quel que soit le statut.</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Par ailleurs, hors situations d’impayés mentionnées ci-dessus, les coupures d’eau demeurent possibles, notamment :</w:t>
      </w:r>
    </w:p>
    <w:p w:rsidR="006E3D67" w:rsidRPr="006E3D67" w:rsidRDefault="006E3D67" w:rsidP="006E3D67">
      <w:pPr>
        <w:spacing w:before="100" w:beforeAutospacing="1" w:after="100" w:afterAutospacing="1" w:line="240" w:lineRule="auto"/>
        <w:ind w:left="284" w:hanging="142"/>
        <w:rPr>
          <w:rFonts w:ascii="Times New Roman" w:eastAsia="Times New Roman" w:hAnsi="Times New Roman" w:cs="Times New Roman"/>
          <w:sz w:val="24"/>
          <w:szCs w:val="24"/>
          <w:lang w:eastAsia="fr-FR"/>
        </w:rPr>
      </w:pPr>
      <w:r w:rsidRPr="006E3D67">
        <w:rPr>
          <w:rFonts w:ascii="Candara" w:eastAsia="Times New Roman" w:hAnsi="Candara" w:cs="Times New Roman"/>
          <w:sz w:val="24"/>
          <w:szCs w:val="24"/>
          <w:lang w:eastAsia="fr-FR"/>
        </w:rPr>
        <w:t>-</w:t>
      </w:r>
      <w:r w:rsidRPr="006E3D67">
        <w:rPr>
          <w:rFonts w:ascii="Candara" w:eastAsia="Times New Roman" w:hAnsi="Candara" w:cs="Times New Roman"/>
          <w:color w:val="1F497D"/>
          <w:sz w:val="24"/>
          <w:szCs w:val="24"/>
          <w:lang w:eastAsia="fr-FR"/>
        </w:rPr>
        <w:t xml:space="preserve">  </w:t>
      </w:r>
      <w:r w:rsidRPr="006E3D67">
        <w:rPr>
          <w:rFonts w:ascii="Times New Roman" w:eastAsia="Times New Roman" w:hAnsi="Times New Roman" w:cs="Times New Roman"/>
          <w:b/>
          <w:bCs/>
          <w:sz w:val="24"/>
          <w:szCs w:val="24"/>
          <w:lang w:eastAsia="fr-FR"/>
        </w:rPr>
        <w:t>en</w:t>
      </w:r>
      <w:r w:rsidRPr="006E3D67">
        <w:rPr>
          <w:rFonts w:ascii="Times New Roman" w:eastAsia="Times New Roman" w:hAnsi="Times New Roman" w:cs="Times New Roman"/>
          <w:sz w:val="24"/>
          <w:szCs w:val="24"/>
          <w:lang w:eastAsia="fr-FR"/>
        </w:rPr>
        <w:t xml:space="preserve"> </w:t>
      </w:r>
      <w:r w:rsidRPr="006E3D67">
        <w:rPr>
          <w:rFonts w:ascii="Times New Roman" w:eastAsia="Times New Roman" w:hAnsi="Times New Roman" w:cs="Times New Roman"/>
          <w:b/>
          <w:bCs/>
          <w:sz w:val="24"/>
          <w:szCs w:val="24"/>
          <w:lang w:eastAsia="fr-FR"/>
        </w:rPr>
        <w:t>absence de souscription d’abonnement</w:t>
      </w:r>
      <w:r w:rsidRPr="006E3D67">
        <w:rPr>
          <w:rFonts w:ascii="Times New Roman" w:eastAsia="Times New Roman" w:hAnsi="Times New Roman" w:cs="Times New Roman"/>
          <w:sz w:val="24"/>
          <w:szCs w:val="24"/>
          <w:lang w:eastAsia="fr-FR"/>
        </w:rPr>
        <w:t xml:space="preserve"> (mais attention : l’émission d’une facture par le service a toutes les chances d’être considérée par le juge comme la reconnaissance par le service de l’existence d’un « contrat » tacite </w:t>
      </w:r>
      <w:r w:rsidRPr="006E3D67">
        <w:rPr>
          <w:rFonts w:ascii="Times New Roman" w:eastAsia="Times New Roman" w:hAnsi="Times New Roman" w:cs="Times New Roman"/>
          <w:color w:val="1F497D"/>
          <w:sz w:val="24"/>
          <w:szCs w:val="24"/>
          <w:lang w:eastAsia="fr-FR"/>
        </w:rPr>
        <w:t xml:space="preserve">- </w:t>
      </w:r>
      <w:r w:rsidRPr="006E3D67">
        <w:rPr>
          <w:rFonts w:ascii="Times New Roman" w:eastAsia="Times New Roman" w:hAnsi="Times New Roman" w:cs="Times New Roman"/>
          <w:sz w:val="24"/>
          <w:szCs w:val="24"/>
          <w:lang w:eastAsia="fr-FR"/>
        </w:rPr>
        <w:t>quand bien même la loi Hamon impose un contrat précédé de la délivrance d’un certain nombre d’informations et préalable à toute délivrance du service…) ;</w:t>
      </w:r>
    </w:p>
    <w:p w:rsidR="006E3D67" w:rsidRPr="006E3D67" w:rsidRDefault="006E3D67" w:rsidP="006E3D67">
      <w:pPr>
        <w:spacing w:before="100" w:beforeAutospacing="1" w:after="100" w:afterAutospacing="1" w:line="240" w:lineRule="auto"/>
        <w:ind w:left="284" w:hanging="142"/>
        <w:rPr>
          <w:rFonts w:ascii="Times New Roman" w:eastAsia="Times New Roman" w:hAnsi="Times New Roman" w:cs="Times New Roman"/>
          <w:sz w:val="24"/>
          <w:szCs w:val="24"/>
          <w:lang w:eastAsia="fr-FR"/>
        </w:rPr>
      </w:pPr>
      <w:r w:rsidRPr="006E3D67">
        <w:rPr>
          <w:rFonts w:ascii="Candara" w:eastAsia="Times New Roman" w:hAnsi="Candara" w:cs="Times New Roman"/>
          <w:sz w:val="24"/>
          <w:szCs w:val="24"/>
          <w:lang w:eastAsia="fr-FR"/>
        </w:rPr>
        <w:lastRenderedPageBreak/>
        <w:t>-</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lang w:eastAsia="fr-FR"/>
        </w:rPr>
        <w:t>en cas de risque de contamination de l'eau du réseau public de distribution</w:t>
      </w:r>
      <w:r w:rsidRPr="006E3D67">
        <w:rPr>
          <w:rFonts w:ascii="Times New Roman" w:eastAsia="Times New Roman" w:hAnsi="Times New Roman" w:cs="Times New Roman"/>
          <w:sz w:val="24"/>
          <w:szCs w:val="24"/>
          <w:lang w:eastAsia="fr-FR"/>
        </w:rPr>
        <w:t xml:space="preserve"> par des eaux provenant d'une autre source, selon les modalités prévues à </w:t>
      </w:r>
      <w:hyperlink r:id="rId12" w:tgtFrame="_blank" w:history="1">
        <w:r w:rsidRPr="006E3D67">
          <w:rPr>
            <w:rFonts w:ascii="Times New Roman" w:eastAsia="Times New Roman" w:hAnsi="Times New Roman" w:cs="Times New Roman"/>
            <w:color w:val="0000FF"/>
            <w:sz w:val="24"/>
            <w:szCs w:val="24"/>
            <w:u w:val="single"/>
            <w:lang w:eastAsia="fr-FR"/>
          </w:rPr>
          <w:t>l’article L.2224-12 du CGCT</w:t>
        </w:r>
      </w:hyperlink>
      <w:r w:rsidRPr="006E3D67">
        <w:rPr>
          <w:rFonts w:ascii="Times New Roman" w:eastAsia="Times New Roman" w:hAnsi="Times New Roman" w:cs="Times New Roman"/>
          <w:sz w:val="24"/>
          <w:szCs w:val="24"/>
          <w:lang w:eastAsia="fr-FR"/>
        </w:rPr>
        <w:t xml:space="preserve"> (mise en demeure,…) ou, si le péril est imminent, la fermeture du branchement peut être décidée par le Maire au titre de son pouvoir de police (sanitaire) ;</w:t>
      </w:r>
    </w:p>
    <w:p w:rsidR="006E3D67" w:rsidRPr="006E3D67" w:rsidRDefault="006E3D67" w:rsidP="006E3D67">
      <w:pPr>
        <w:spacing w:before="100" w:beforeAutospacing="1" w:after="100" w:afterAutospacing="1" w:line="240" w:lineRule="auto"/>
        <w:ind w:left="284" w:hanging="142"/>
        <w:rPr>
          <w:rFonts w:ascii="Times New Roman" w:eastAsia="Times New Roman" w:hAnsi="Times New Roman" w:cs="Times New Roman"/>
          <w:sz w:val="24"/>
          <w:szCs w:val="24"/>
          <w:lang w:eastAsia="fr-FR"/>
        </w:rPr>
      </w:pPr>
      <w:r w:rsidRPr="006E3D67">
        <w:rPr>
          <w:rFonts w:ascii="Candara" w:eastAsia="Times New Roman" w:hAnsi="Candara" w:cs="Times New Roman"/>
          <w:sz w:val="24"/>
          <w:szCs w:val="24"/>
          <w:lang w:eastAsia="fr-FR"/>
        </w:rPr>
        <w:t>-</w:t>
      </w:r>
      <w:r w:rsidRPr="006E3D67">
        <w:rPr>
          <w:rFonts w:ascii="Times New Roman" w:eastAsia="Times New Roman" w:hAnsi="Times New Roman" w:cs="Times New Roman"/>
          <w:color w:val="1F497D"/>
          <w:sz w:val="14"/>
          <w:szCs w:val="14"/>
          <w:lang w:eastAsia="fr-FR"/>
        </w:rPr>
        <w:t xml:space="preserve">   </w:t>
      </w:r>
      <w:r w:rsidRPr="006E3D67">
        <w:rPr>
          <w:rFonts w:ascii="Times New Roman" w:eastAsia="Times New Roman" w:hAnsi="Times New Roman" w:cs="Times New Roman"/>
          <w:b/>
          <w:bCs/>
          <w:sz w:val="24"/>
          <w:szCs w:val="24"/>
          <w:lang w:eastAsia="fr-FR"/>
        </w:rPr>
        <w:t>en cas de manquements au règlement du service</w:t>
      </w:r>
      <w:r w:rsidRPr="006E3D67">
        <w:rPr>
          <w:rFonts w:ascii="Times New Roman" w:eastAsia="Times New Roman" w:hAnsi="Times New Roman" w:cs="Times New Roman"/>
          <w:sz w:val="24"/>
          <w:szCs w:val="24"/>
          <w:lang w:eastAsia="fr-FR"/>
        </w:rPr>
        <w:t xml:space="preserve"> – autres que le payement des factures (fraude, refus d’accès au compteur…) – sous réserve que cette sanction (coupure) soit prévue par le règlement et précédée d’une mise en demeure (sauf toujours péril imminent mais cela relève alors du maire).</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Nous restons à votre disposition</w:t>
      </w:r>
    </w:p>
    <w:p w:rsidR="006E3D67" w:rsidRPr="006E3D67" w:rsidRDefault="006E3D67" w:rsidP="006E3D67">
      <w:pPr>
        <w:spacing w:before="100" w:beforeAutospacing="1" w:after="100" w:afterAutospacing="1"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sz w:val="24"/>
          <w:szCs w:val="24"/>
          <w:lang w:eastAsia="fr-FR"/>
        </w:rPr>
        <w:t>Bien cordialement</w:t>
      </w:r>
    </w:p>
    <w:p w:rsidR="006E3D67" w:rsidRPr="006E3D67" w:rsidRDefault="006E3D67" w:rsidP="006E3D67">
      <w:pPr>
        <w:spacing w:before="100" w:beforeAutospacing="1" w:after="0"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b/>
          <w:bCs/>
          <w:i/>
          <w:iCs/>
          <w:color w:val="1F4E79"/>
          <w:sz w:val="24"/>
          <w:szCs w:val="24"/>
          <w:lang w:eastAsia="fr-FR"/>
        </w:rPr>
        <w:t>Régis TAISNE</w:t>
      </w:r>
    </w:p>
    <w:p w:rsidR="006E3D67" w:rsidRPr="006E3D67" w:rsidRDefault="006E3D67" w:rsidP="006E3D67">
      <w:pPr>
        <w:spacing w:before="100" w:beforeAutospacing="1" w:after="0" w:line="240" w:lineRule="auto"/>
        <w:rPr>
          <w:rFonts w:ascii="Times New Roman" w:eastAsia="Times New Roman" w:hAnsi="Times New Roman" w:cs="Times New Roman"/>
          <w:sz w:val="24"/>
          <w:szCs w:val="24"/>
          <w:lang w:eastAsia="fr-FR"/>
        </w:rPr>
      </w:pPr>
      <w:r w:rsidRPr="006E3D67">
        <w:rPr>
          <w:rFonts w:ascii="Times New Roman" w:eastAsia="Times New Roman" w:hAnsi="Times New Roman" w:cs="Times New Roman"/>
          <w:b/>
          <w:bCs/>
          <w:color w:val="1F4E79"/>
          <w:sz w:val="18"/>
          <w:szCs w:val="18"/>
          <w:lang w:eastAsia="fr-FR"/>
        </w:rPr>
        <w:t>FNCCR - Département Cycle de l’eau</w:t>
      </w:r>
    </w:p>
    <w:p w:rsidR="00607C8B" w:rsidRDefault="00607C8B"/>
    <w:sectPr w:rsidR="00607C8B" w:rsidSect="00607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6E3D67"/>
    <w:rsid w:val="00607C8B"/>
    <w:rsid w:val="006E3D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E3D67"/>
    <w:rPr>
      <w:color w:val="0000FF"/>
      <w:u w:val="single"/>
    </w:rPr>
  </w:style>
  <w:style w:type="paragraph" w:styleId="NormalWeb">
    <w:name w:val="Normal (Web)"/>
    <w:basedOn w:val="Normal"/>
    <w:uiPriority w:val="99"/>
    <w:semiHidden/>
    <w:unhideWhenUsed/>
    <w:rsid w:val="006E3D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3D6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264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fr/seances/s201507/s20150715/s2015071501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ifrance.gouv.fr/affichTexte.do;jsessionid=BEA11FCE1AE4A1F4CD3FFCC864A12981.tpdila08v_1?cidTexte=JORFTEXT000031044385&amp;categorieLien=id" TargetMode="External"/><Relationship Id="rId12" Type="http://schemas.openxmlformats.org/officeDocument/2006/relationships/hyperlink" Target="http://www.legifrance.gouv.fr/affichCodeArticle.do;jsessionid=51F3C2E5B50F8C68BC89586452B0BE5A.tpdila09v_1?idArticle=LEGIARTI000006390363&amp;cidTexte=LEGITEXT000006070633&amp;dateTexte=201509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fr/basile/visio.do?id=qSEQ090609092&amp;idtable=q216453&amp;_c=r%E9duction+de+d%E9bit&amp;s=92042S&amp;rch=qs&amp;de=20090203&amp;au=20120303&amp;dp=10+ans&amp;radio=deau&amp;aff=sep&amp;tri=p&amp;off=0&amp;afd=ppr&amp;afd=ppl&amp;afd=pjl&amp;afd=cvn" TargetMode="External"/><Relationship Id="rId11" Type="http://schemas.openxmlformats.org/officeDocument/2006/relationships/hyperlink" Target="http://www.legifrance.gouv.fr/affichCodeArticle.do;jsessionid=FB5E9ECF373F92BCB00794E35B80C0EA.tpdila13v_1?idArticle=LEGIARTI000028740414&amp;cidTexte=LEGITEXT000006069565&amp;dateTexte=20151020" TargetMode="External"/><Relationship Id="rId5" Type="http://schemas.openxmlformats.org/officeDocument/2006/relationships/hyperlink" Target="http://www.legifrance.gouv.fr/affichTexte.do?cidTexte=JORFTEXT000019325694" TargetMode="External"/><Relationship Id="rId10" Type="http://schemas.openxmlformats.org/officeDocument/2006/relationships/hyperlink" Target="http://www.legifrance.gouv.fr/affichTexteArticle.do;jsessionid=F15AE3CA412FEDF1A3650FA37BA59F74.tpdila19v_1?idArticle=LEGIARTI000006207820&amp;cidTexte=LEGITEXT000005632175&amp;dateTexte=20160117" TargetMode="External"/><Relationship Id="rId4" Type="http://schemas.openxmlformats.org/officeDocument/2006/relationships/hyperlink" Target="http://www.legifrance.gouv.fr/affichCodeArticle.do?idArticle=LEGIARTI000031065481&amp;cidTexte=LEGITEXT000006074069&amp;dateTexte=20160118&amp;oldAction=rechCodeArticle&amp;fastReqId=561781669&amp;nbResultRech=1" TargetMode="External"/><Relationship Id="rId9" Type="http://schemas.openxmlformats.org/officeDocument/2006/relationships/hyperlink" Target="http://www2.assemblee-nationale.fr/questions/detail/14/QE/8740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7294</Characters>
  <Application>Microsoft Office Word</Application>
  <DocSecurity>0</DocSecurity>
  <Lines>60</Lines>
  <Paragraphs>17</Paragraphs>
  <ScaleCrop>false</ScaleCrop>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client17716</dc:creator>
  <cp:lastModifiedBy>client17716</cp:lastModifiedBy>
  <cp:revision>1</cp:revision>
  <dcterms:created xsi:type="dcterms:W3CDTF">2016-01-22T11:43:00Z</dcterms:created>
  <dcterms:modified xsi:type="dcterms:W3CDTF">2016-01-22T11:44:00Z</dcterms:modified>
</cp:coreProperties>
</file>